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TOKSIKOLOŠKA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41555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1555D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9D4E6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9D4E66" w:rsidP="0041555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1555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9D4E66" w:rsidP="00CD3DB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100,75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41555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1555D" w:rsidRPr="0041555D">
              <w:rPr>
                <w:rFonts w:asciiTheme="majorHAnsi" w:hAnsiTheme="majorHAnsi" w:cs="Arial"/>
                <w:b/>
                <w:sz w:val="18"/>
                <w:szCs w:val="18"/>
              </w:rPr>
              <w:t>Hemija/ Hemija / usmjerenje: Medicinska 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9D4E66" w:rsidP="0041555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sci. Maida Šljivić Husejnović, </w:t>
            </w:r>
            <w:r w:rsidR="0041555D">
              <w:rPr>
                <w:rFonts w:asciiTheme="majorHAnsi" w:hAnsiTheme="majorHAnsi" w:cs="Arial"/>
                <w:b/>
                <w:sz w:val="18"/>
                <w:szCs w:val="18"/>
              </w:rPr>
              <w:t xml:space="preserve">vanredni </w:t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41555D">
              <w:rPr>
                <w:rFonts w:asciiTheme="majorHAnsi" w:hAnsiTheme="majorHAnsi" w:cs="Arial"/>
                <w:b/>
                <w:sz w:val="18"/>
                <w:szCs w:val="18"/>
              </w:rPr>
              <w:t>ofesor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9D4E6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studenata sa  teoretskim principima toksikologije,vrstama  najčešćih otrova i njihovih antidota kao i s osnovnim principima  toksikološke hemije pri dokazivanju otrova u  svim vrstama uzoraka. Osposobljavanje studenata za samostalan  stručni i naučni rad u laboratorijama koje se bave toksikološkom hemijom.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u proučavanju hemijske strukture i djelovanje različitih otrova u biološkim sistemima. Povezati opasnost,  rizik i sigurnost toksičnih supstanci  za ljudsko zdravlje i okoliš.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Osnovni pojmovi u toksikologiji. Kriterijumi i faktori toksičnosti. Odnos doza-odgovor. Testovi toksičnosti. Putevi unošenja otrova u organizam, distribucija, metabolizam, eliminacija, kumulacija otrova, interakcije otrova. Organizacija i uloga toksikološko-hemijske laboratorije. Uzorci i uzorkovanje materijala za toksikološko-hemijsku analizu: vazduh, voda, zemljište, biološki materijal.  Metode izolovanja otrova iz toksikološkog materijala. Mineralni, gasoviti  i prirodni otrovi. Osnovi radiotoksikologije. Sredstva koja izazivaju zavisnost. Primjena zakonske regulative u zaštiti od otrova.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- seminarski rad na osnovu prikupljene literature i usmeno izlaganje;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- konsultacije.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9D4E6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Predispitne aktivnosti (min 55, max 100 bodova)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redovno pohađanje nastave i aktivnost na predavanjima - 0-10 bodova 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seminarski rad-  0-20 bodova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I parcijalni ispit - 20 - 35 bodova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II parcijalni /završni ispit - 20 - 35 bodova.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Aktivnost na nastavi: Student tokomi predavanja aktivno učestvuje u nastavi i pokazuje aktivnost u radu. Aktivnost studenta i redovnost pohađanja nastave se vrednuje bodovima 0-10.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rad: Studenti pišu seminarski rad na osnovu prikupljene literature na zadatu temu i usmeno ga brane. Samostalni rad studenta se boduje sa maksimalno 20 bodova. 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Ispit: Studenti mogu polagati ispit iz dva dijela, usmeno i/ili pismeno. Prvi parcijalni ispit sadrži gradivo iz prvih 50% sadržaja nastavnog predmeta. Ispit se polaže u toku semestra, nakon odslušanih predviđenih nastavnih jedinica. Na prvom parcijalnom ispitu za položen dio ispita student treba ostvariti 20-35 bodova. Drugi parcijalni/završni ispit  sadrži gradivo iz preostalih 50% sadržaja nastavnog predmeta. Student polaže drugi parcijalni/završni ispit na kraju semestra, nakon što odsluša sva predavanja. Student za predviđene aktivnosti i provjere znanja tokom semestra treba da ukupno osvoji broj bodova koji zadovoljava kriterije za prolaznu ocjenu.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Ukoliko student u okviru predispitnih aktivnosti ne ostvari dovoljan broj bodova za upis ocjene, završni ispit i nepoloženi dijelovi ispita se polažu u redovnom i popravnom terminu ispitnih rokova.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Konačnu ocjenu student dobije sabiranjem pojedinačnih bodova dobivenih u svim oblicima provjere znanja u toku semestra. Ako student nije zadovoljan konačnom ocjenom, može poništiti bodove bilo kojeg dijela ispita i isti raditi ponovo u popravnom terminu ili pristupiti usmenom ispitivanju.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Ukoliko student za vrijeme ispita bude prepisivao ili koristio različita tehnička pomagala biti će udaljen sa ispita, a njegov rad se neće bodovati.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9D4E6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Uspješnost studenta prati se kontinuirano tokom nastave i izražava se u bodovima.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Konačan uspjeh studenta nakon svih predviđenih oblika provjere znanja, vrednuje se i ocjenjuje kako slijedi: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10 (A)-95-100 -izuzetan uspjeh bez grešaka ili sa neznatnim greškama,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9 (B)-85-94 -iznad prosjeka, sa ponekom greškom,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8 (C)-75-84 -sa primjetnim greškama,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7 (D)-65-74 -općenito dobar, sa značajnijim nedostacima,</w:t>
            </w:r>
          </w:p>
          <w:p w:rsidR="00CD3DBE" w:rsidRP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6 (E)-55-64 -zadovoljava minimalne kriterije, 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5 (F,FX)&lt;55 -ne zadovoljava minimalne kriterije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9D4E6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CD3DBE">
              <w:rPr>
                <w:rFonts w:asciiTheme="majorHAnsi" w:hAnsiTheme="majorHAnsi" w:cs="Arial"/>
                <w:b/>
                <w:sz w:val="18"/>
                <w:szCs w:val="18"/>
              </w:rPr>
              <w:t>Autorizovana predavanja nastavnika</w:t>
            </w:r>
          </w:p>
          <w:p w:rsidR="00CD3DBE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Mokranjac M. Toksikološka hemija.Grafopan;2001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 Jokanović M. Toksikologija. Elit Medika, Beograd; 2001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9D4E6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D3DBE" w:rsidRPr="00CD3DBE" w:rsidRDefault="009D4E66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D3DBE" w:rsidRPr="00CD3DBE">
              <w:rPr>
                <w:rFonts w:asciiTheme="majorHAnsi" w:hAnsiTheme="majorHAnsi" w:cs="Arial"/>
                <w:b/>
                <w:sz w:val="18"/>
                <w:szCs w:val="18"/>
              </w:rPr>
              <w:t>1. Sofilić T, Makić H. Toksikologija, Sveučilište u Zagrebu;2019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:rsidR="00CB72ED" w:rsidRPr="00B96B4F" w:rsidRDefault="00CD3DBE" w:rsidP="00CD3DB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CD3DBE">
              <w:rPr>
                <w:rFonts w:asciiTheme="majorHAnsi" w:hAnsiTheme="majorHAnsi" w:cs="Arial"/>
                <w:b/>
                <w:sz w:val="18"/>
                <w:szCs w:val="18"/>
              </w:rPr>
              <w:t>. Đorđević S. Odabrana poglavlja toksikološke hemije 2. Prado,Beograd;2016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9D4E66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9D4E6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9D4E66" w:rsidP="00C1178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A747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C11785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A7478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bookmarkStart w:id="3" w:name="_GoBack"/>
            <w:bookmarkEnd w:id="3"/>
            <w:r w:rsidR="00C1178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9D4E6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D4E6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9D4E6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9D4E6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DA747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DA747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A747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8EF" w:rsidRDefault="002828EF">
      <w:pPr>
        <w:spacing w:line="240" w:lineRule="auto"/>
      </w:pPr>
      <w:r>
        <w:separator/>
      </w:r>
    </w:p>
  </w:endnote>
  <w:endnote w:type="continuationSeparator" w:id="0">
    <w:p w:rsidR="002828EF" w:rsidRDefault="00282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9D4E6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11785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9D4E6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9D4E6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1178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9D4E66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9D4E66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9D4E66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1178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9D4E66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8EF" w:rsidRDefault="002828EF">
      <w:pPr>
        <w:spacing w:after="0"/>
      </w:pPr>
      <w:r>
        <w:separator/>
      </w:r>
    </w:p>
  </w:footnote>
  <w:footnote w:type="continuationSeparator" w:id="0">
    <w:p w:rsidR="002828EF" w:rsidRDefault="002828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828EF"/>
    <w:rsid w:val="00291453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20E9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555D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7542E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C0AD0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5CBD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4E66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C4E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1785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77530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C75B4"/>
    <w:rsid w:val="00CD2E60"/>
    <w:rsid w:val="00CD3DBE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3C0E"/>
    <w:rsid w:val="00DA1C36"/>
    <w:rsid w:val="00DA3DC5"/>
    <w:rsid w:val="00DA7478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66501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annotation reference" w:uiPriority="0" w:unhideWhenUsed="0"/>
    <w:lsdException w:name="page number" w:semiHidden="0" w:uiPriority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75550-7530-4D26-B6DE-248B5881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5</cp:revision>
  <cp:lastPrinted>2024-03-19T08:24:00Z</cp:lastPrinted>
  <dcterms:created xsi:type="dcterms:W3CDTF">2026-04-25T05:36:00Z</dcterms:created>
  <dcterms:modified xsi:type="dcterms:W3CDTF">2026-04-27T09:39:00Z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